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Ecoles et établissements scolaires. Renforcement des mesures de sécurité et de gestion de crise</w:t>
      </w:r>
    </w:p>
    <w:p>
      <w:pPr>
        <w:pStyle w:val="Heading2"/>
      </w:pPr>
      <w:r>
        <w:rPr/>
        <w:t xml:space="preserve">Revue - Vie Communale</w:t>
      </w:r>
    </w:p>
    <w:p>
      <w:pPr>
        <w:pStyle w:val="Heading3"/>
      </w:pPr>
      <w:r>
        <w:rPr/>
        <w:t xml:space="preserve">Source - Circulaire</w:t>
      </w:r>
    </w:p>
    <w:p/>
    <w:p>
      <w:pPr/>
      <w:r>
        <w:rPr/>
        <w:t xml:space="preserve"> À la suite des attentats de 2015 et 2016, trois circulaires ont défini le dispositif à mettre en œuvre au sein des académies et notamment les mesures de sécurité à déployer dans les écoles et les établissements scolaires (circulaire n° 2015-206 du 25 novembre 2015 relative aux mesures de sécurité dans les écoles et les établissements scolaires après les attentats du 13 novembre 2015, instruction du 22 décembre 2015 relative à la protection des espaces scolaires et instruction du 29 juillet 2016 relative aux mesures de sécurité dans les écoles et les établissements scolaires à la rentrée scolaire 2016).   Il apparaît aujourd'hui nécessaire de renforcer ce dispositif en soulignant tout particulièrement l'exigence d'une approche partenariale associant les structures relevant de l'Éducation nationale (écoles et établissements scolaires, directions départementales, académies), les services en charge de la sécurité placés sous l'autorité du préfet, et les collectivités gestionnaires des établissements.   L’instruction n° INTK1711450J du 12 avril 2017 assemble dans un seul document les dispositions mises en œuvre pour faire face à la menace terroriste et de préciser leur articulation avec le plan Vigipirate et le dispositif ministériel de gestion de crise.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2025-07-27T09:25:13+00:00</dcterms:created>
  <dcterms:modified xsi:type="dcterms:W3CDTF">2025-07-27T09:25:13+00:00</dcterms:modified>
</cp:coreProperties>
</file>

<file path=docProps/custom.xml><?xml version="1.0" encoding="utf-8"?>
<Properties xmlns="http://schemas.openxmlformats.org/officeDocument/2006/custom-properties" xmlns:vt="http://schemas.openxmlformats.org/officeDocument/2006/docPropsVTypes"/>
</file>