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EPCI. Nombre d'habitants. Seuil minimal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Il résulte de l'article L 5210-1-1 du CGCT que le législateur a entendu imposer un seuil minimal de 15 000 habitants, abaissé à 5 000 habitants dans certaines circonstances, pour tout EPCI à fiscalité propre et que ce seuil doit être interprété strictement. Il suit de là que le préfet est tenu de refuser tout projet de regroupement intercommunal laissant subsister un EPCI à fiscalité propre dont la population n'atteindrait pas ce seuil.   </w:t>
      </w:r>
    </w:p>
    <w:p>
      <w:pPr/>
      <w:r>
        <w:rPr>
          <w:b w:val="1"/>
          <w:bCs w:val="1"/>
        </w:rPr>
        <w:t xml:space="preserve">2. </w:t>
      </w:r>
    </w:p>
    <w:p>
      <w:pPr/>
      <w:r>
        <w:rPr/>
        <w:t xml:space="preserve">Par ailleurs, la dissolution d'un EPCI crée, par elle-même, une situation d'urgence à l'égard de cet établissement : l'arrêté préfectoral en étant à l'origine est donc susceptible de faire l'objet d'un référé-suspension (CE, 17.03.2017, </w:t>
      </w:r>
    </w:p>
    <w:p>
      <w:pPr/>
      <w:r>
        <w:rPr>
          <w:i w:val="1"/>
          <w:iCs w:val="1"/>
        </w:rPr>
        <w:t xml:space="preserve">ministre de l'intérieur</w:t>
      </w:r>
    </w:p>
    <w:p>
      <w:pPr/>
      <w:r>
        <w:rPr/>
        <w:t xml:space="preserve">, n° 404891).  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2025-07-27T10:18:56+00:00</dcterms:created>
  <dcterms:modified xsi:type="dcterms:W3CDTF">2025-07-27T10:18:56+00:00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