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"Grenellisation" des PLU. Report de l'échéance : prochaine révision du PLU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Réponses ministérielles</w:t>
      </w:r>
    </w:p>
    <w:p/>
    <w:p>
      <w:pPr/>
      <w:r>
        <w:rPr/>
        <w:t xml:space="preserve"> L'article 132 de la loi du 27 janvier 2017 relative à l'égalité et à la citoyenneté a supprimé l’échéance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janvier 2017. Ainsi, les documents d'urbanisme devront être mis en conformité avec les dispositions de la loi ENE (loi Engagement national pour l'environnement, dite Grenelle 2), au plus tard à l'occasion de leur prochaine révision (</w:t>
      </w:r>
    </w:p>
    <w:p>
      <w:pPr/>
      <w:r>
        <w:rPr>
          <w:i w:val="1"/>
          <w:iCs w:val="1"/>
        </w:rPr>
        <w:t xml:space="preserve">JO</w:t>
      </w:r>
    </w:p>
    <w:p>
      <w:pPr/>
      <w:r>
        <w:rPr/>
        <w:t xml:space="preserve"> Sénat, 02.03.2017, question n° 23609).  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2025-07-27T10:19:42+00:00</dcterms:created>
  <dcterms:modified xsi:type="dcterms:W3CDTF">2025-07-27T10:19:42+00:00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